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A16687">
        <w:rPr>
          <w:b/>
          <w:sz w:val="22"/>
          <w:szCs w:val="22"/>
        </w:rPr>
        <w:t>2</w:t>
      </w:r>
      <w:proofErr w:type="gramStart"/>
      <w:r w:rsidR="00A16687">
        <w:rPr>
          <w:b/>
          <w:sz w:val="22"/>
          <w:szCs w:val="22"/>
        </w:rPr>
        <w:t xml:space="preserve"> А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A16687">
        <w:rPr>
          <w:b/>
          <w:sz w:val="22"/>
          <w:szCs w:val="22"/>
        </w:rPr>
        <w:t>Окружная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A16687">
        <w:rPr>
          <w:sz w:val="22"/>
          <w:szCs w:val="22"/>
        </w:rPr>
        <w:t>Окружная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A16687">
        <w:rPr>
          <w:sz w:val="22"/>
          <w:szCs w:val="22"/>
        </w:rPr>
        <w:t>2</w:t>
      </w:r>
      <w:proofErr w:type="gramStart"/>
      <w:r w:rsidR="00A16687"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A16687">
        <w:rPr>
          <w:bCs/>
          <w:sz w:val="22"/>
          <w:szCs w:val="22"/>
        </w:rPr>
        <w:t>2</w:t>
      </w:r>
      <w:proofErr w:type="gramStart"/>
      <w:r w:rsidR="00A16687">
        <w:rPr>
          <w:bCs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A16687">
        <w:rPr>
          <w:bCs/>
          <w:sz w:val="22"/>
          <w:szCs w:val="22"/>
        </w:rPr>
        <w:t>Окружная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A16687" w:rsidP="00A166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1D7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A1668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1B1181">
              <w:rPr>
                <w:rFonts w:eastAsia="Lucida Sans Unicode"/>
                <w:b/>
                <w:sz w:val="18"/>
                <w:szCs w:val="18"/>
              </w:rPr>
              <w:t>8</w:t>
            </w:r>
            <w:r w:rsidR="00A16687">
              <w:rPr>
                <w:rFonts w:eastAsia="Lucida Sans Unicode"/>
                <w:b/>
                <w:sz w:val="18"/>
                <w:szCs w:val="18"/>
              </w:rPr>
              <w:t>8</w:t>
            </w:r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79118C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7.</w:t>
            </w:r>
          </w:p>
        </w:tc>
        <w:tc>
          <w:tcPr>
            <w:tcW w:w="6646" w:type="dxa"/>
          </w:tcPr>
          <w:p w:rsidR="00275AB4" w:rsidRPr="001F0D8E" w:rsidRDefault="0079118C" w:rsidP="002627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Уборка лестничных клеток (дополнительная услуга):</w:t>
            </w:r>
            <w:bookmarkStart w:id="0" w:name="_GoBack"/>
            <w:bookmarkEnd w:id="0"/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690557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</w:t>
            </w:r>
            <w:r w:rsidR="00275AB4" w:rsidRPr="001F0D8E">
              <w:rPr>
                <w:rFonts w:eastAsia="Lucida Sans Unicode"/>
                <w:sz w:val="18"/>
                <w:szCs w:val="18"/>
              </w:rPr>
              <w:t xml:space="preserve">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A16687" w:rsidP="00A16687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</w:t>
            </w:r>
            <w:r w:rsidR="00AC01D7">
              <w:rPr>
                <w:rFonts w:eastAsia="Lucida Sans Unicode"/>
                <w:b/>
                <w:sz w:val="18"/>
                <w:szCs w:val="18"/>
              </w:rPr>
              <w:t>,8</w:t>
            </w:r>
            <w:r>
              <w:rPr>
                <w:rFonts w:eastAsia="Lucida Sans Unicode"/>
                <w:b/>
                <w:sz w:val="18"/>
                <w:szCs w:val="18"/>
              </w:rPr>
              <w:t>5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90557"/>
    <w:rsid w:val="006C7134"/>
    <w:rsid w:val="00762C89"/>
    <w:rsid w:val="0079118C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16687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14</cp:revision>
  <cp:lastPrinted>2015-01-15T15:14:00Z</cp:lastPrinted>
  <dcterms:created xsi:type="dcterms:W3CDTF">2015-01-15T15:12:00Z</dcterms:created>
  <dcterms:modified xsi:type="dcterms:W3CDTF">2015-03-27T16:54:00Z</dcterms:modified>
</cp:coreProperties>
</file>